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B3804" w14:textId="77777777" w:rsidR="00525461" w:rsidRPr="00525461" w:rsidRDefault="00525461" w:rsidP="00525461">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525461">
        <w:rPr>
          <w:rFonts w:ascii="Verdana" w:eastAsia="Times New Roman" w:hAnsi="Verdana" w:cs="Times New Roman"/>
          <w:color w:val="CC3300"/>
          <w:kern w:val="36"/>
          <w:sz w:val="36"/>
          <w:szCs w:val="36"/>
          <w:lang w:eastAsia="fr-BE"/>
        </w:rPr>
        <w:t>Déchets &amp; seconde fusion : regain de nervosité</w:t>
      </w:r>
    </w:p>
    <w:p w14:paraId="1D41D93F" w14:textId="77777777" w:rsidR="00525461" w:rsidRDefault="00525461" w:rsidP="00525461">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380300AC" w14:textId="5FE2DCEA" w:rsidR="00525461" w:rsidRPr="00525461" w:rsidRDefault="00525461" w:rsidP="005254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525461">
        <w:rPr>
          <w:rFonts w:ascii="Verdana" w:eastAsia="Times New Roman" w:hAnsi="Verdana" w:cs="Times New Roman"/>
          <w:b/>
          <w:bCs/>
          <w:color w:val="000000"/>
          <w:sz w:val="23"/>
          <w:szCs w:val="23"/>
          <w:lang w:eastAsia="fr-BE"/>
        </w:rPr>
        <w:t xml:space="preserve">On note un réel regain de nervosité sur les marchés de vieux métaux. La volatilité du cuivre à Londres alimente une reprise des ventes. Côté aluminium, l’envolée du LME tire les prix des déchets vers le haut. Les déchets d’affinage en </w:t>
      </w:r>
      <w:proofErr w:type="gramStart"/>
      <w:r w:rsidRPr="00525461">
        <w:rPr>
          <w:rFonts w:ascii="Verdana" w:eastAsia="Times New Roman" w:hAnsi="Verdana" w:cs="Times New Roman"/>
          <w:b/>
          <w:bCs/>
          <w:color w:val="000000"/>
          <w:sz w:val="23"/>
          <w:szCs w:val="23"/>
          <w:lang w:eastAsia="fr-BE"/>
        </w:rPr>
        <w:t>profite</w:t>
      </w:r>
      <w:proofErr w:type="gramEnd"/>
      <w:r w:rsidRPr="00525461">
        <w:rPr>
          <w:rFonts w:ascii="Verdana" w:eastAsia="Times New Roman" w:hAnsi="Verdana" w:cs="Times New Roman"/>
          <w:b/>
          <w:bCs/>
          <w:color w:val="000000"/>
          <w:sz w:val="23"/>
          <w:szCs w:val="23"/>
          <w:lang w:eastAsia="fr-BE"/>
        </w:rPr>
        <w:t xml:space="preserve"> largement, malgré des perspectives encore très difficiles à discerner…</w:t>
      </w:r>
    </w:p>
    <w:p w14:paraId="663D8F9D" w14:textId="77777777" w:rsidR="00525461" w:rsidRPr="00525461" w:rsidRDefault="00525461" w:rsidP="005254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525461">
        <w:rPr>
          <w:rFonts w:ascii="Verdana" w:eastAsia="Times New Roman" w:hAnsi="Verdana" w:cs="Times New Roman"/>
          <w:color w:val="000000"/>
          <w:sz w:val="23"/>
          <w:szCs w:val="23"/>
          <w:lang w:eastAsia="fr-BE"/>
        </w:rPr>
        <w:t>              A 1970-2040 euros, la cotation du lingot DIN 226 progresse d’une vingtaine d’euros dans le haut de sa fourchette. La cotation AS9U3 de La Tribune des Métaux progresse aussi à 1900/1950 euros (+30/+30). Des ajustements plus que des hausses, justifiés essentiellement par la formidable remontée du cours de l’aluminium à Londres qui atteignait récemment un plus haut de 10 ans. Reste que, fondamentalement, le ciel est encore très loin de s’éclaircir au-dessus de l’aluminium de seconde fusion. Il n’est qu’à jeter un œil sur les dernières statistiques de ventes de voitures en Europe pour prendre la mesure de l’inquiétude qui ne cesse de monter chez les affineurs. En France, elles affichent un recul de 15 % en août par rapport à juillet. Certes il s’agit d’une hausse de 12,8 % par rapport à août 2020, mais la chute est de 23,3 % par rapport à 2019, seule année de référence qui vaille vraiment. Côté allemand, l’été est particulièrement meurtrier : -23 % en août après -25 % en juillet. D’ores-et-déjà, Volkswagen a indiqué sa décision de ne reprendre sa production à la rentrée que de «</w:t>
      </w:r>
      <w:r w:rsidRPr="00525461">
        <w:rPr>
          <w:rFonts w:ascii="Verdana" w:eastAsia="Times New Roman" w:hAnsi="Verdana" w:cs="Times New Roman"/>
          <w:i/>
          <w:iCs/>
          <w:color w:val="000000"/>
          <w:sz w:val="23"/>
          <w:szCs w:val="23"/>
          <w:lang w:eastAsia="fr-BE"/>
        </w:rPr>
        <w:t> façon limité</w:t>
      </w:r>
      <w:r w:rsidRPr="00525461">
        <w:rPr>
          <w:rFonts w:ascii="Verdana" w:eastAsia="Times New Roman" w:hAnsi="Verdana" w:cs="Times New Roman"/>
          <w:color w:val="000000"/>
          <w:sz w:val="23"/>
          <w:szCs w:val="23"/>
          <w:lang w:eastAsia="fr-BE"/>
        </w:rPr>
        <w:t>e ». Une bien mauvaise nouvelle pour les affineurs français qui exportent beaucoup outre-Rhin. Ceux-là sont d’autant plus sous pression que les prix des déchets augmentent. Le carter ordinaire oscille désormais entre 1200 et 1250 euros. Quant aux alu mêlés, ils affichent des écarts de prix de plus en plus significatifs. On parle d’un minimum de 1200 euros, mais des prix beaucoup plus élevés circulent sur le marché. Même constat pour les AGS mêlés qui oscillent entre 1500 euros et 1800 euros. L’Espagne semble à la pointe du marché.</w:t>
      </w:r>
    </w:p>
    <w:p w14:paraId="62BB5EA9" w14:textId="77777777" w:rsidR="00525461" w:rsidRPr="00525461" w:rsidRDefault="00525461" w:rsidP="005254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525461">
        <w:rPr>
          <w:rFonts w:ascii="Verdana" w:eastAsia="Times New Roman" w:hAnsi="Verdana" w:cs="Times New Roman"/>
          <w:color w:val="000000"/>
          <w:sz w:val="23"/>
          <w:szCs w:val="23"/>
          <w:lang w:eastAsia="fr-BE"/>
        </w:rPr>
        <w:t xml:space="preserve">A noter une forte demande en AGS blancs et en A5/A7 dont les primes ont été revues à la hausse. Compter </w:t>
      </w:r>
      <w:proofErr w:type="spellStart"/>
      <w:r w:rsidRPr="00525461">
        <w:rPr>
          <w:rFonts w:ascii="Verdana" w:eastAsia="Times New Roman" w:hAnsi="Verdana" w:cs="Times New Roman"/>
          <w:color w:val="000000"/>
          <w:sz w:val="23"/>
          <w:szCs w:val="23"/>
          <w:lang w:eastAsia="fr-BE"/>
        </w:rPr>
        <w:t>lowest</w:t>
      </w:r>
      <w:proofErr w:type="spellEnd"/>
      <w:r w:rsidRPr="00525461">
        <w:rPr>
          <w:rFonts w:ascii="Verdana" w:eastAsia="Times New Roman" w:hAnsi="Verdana" w:cs="Times New Roman"/>
          <w:color w:val="000000"/>
          <w:sz w:val="23"/>
          <w:szCs w:val="23"/>
          <w:lang w:eastAsia="fr-BE"/>
        </w:rPr>
        <w:t xml:space="preserve"> LME (LLME) + 100 euros pour les profilés blancs et + 130 pour les A5/A7. Les AGS couleurs sont moins prisés. On note enfin des prix très élevés pour des mélanges des séries 5000 et 6000 : 1800 euros départ !</w:t>
      </w:r>
    </w:p>
    <w:p w14:paraId="492B776C" w14:textId="77777777" w:rsidR="00525461" w:rsidRPr="00525461" w:rsidRDefault="00525461" w:rsidP="005254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525461">
        <w:rPr>
          <w:rFonts w:ascii="Verdana" w:eastAsia="Times New Roman" w:hAnsi="Verdana" w:cs="Times New Roman"/>
          <w:color w:val="000000"/>
          <w:sz w:val="23"/>
          <w:szCs w:val="23"/>
          <w:lang w:eastAsia="fr-BE"/>
        </w:rPr>
        <w:t> </w:t>
      </w:r>
    </w:p>
    <w:p w14:paraId="23915802" w14:textId="77777777" w:rsidR="00525461" w:rsidRPr="00525461" w:rsidRDefault="00525461" w:rsidP="005254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525461">
        <w:rPr>
          <w:rFonts w:ascii="Verdana" w:eastAsia="Times New Roman" w:hAnsi="Verdana" w:cs="Times New Roman"/>
          <w:b/>
          <w:bCs/>
          <w:color w:val="A52A2A"/>
          <w:sz w:val="23"/>
          <w:szCs w:val="23"/>
          <w:lang w:eastAsia="fr-BE"/>
        </w:rPr>
        <w:t>Cuivreux : à la peine</w:t>
      </w:r>
    </w:p>
    <w:p w14:paraId="19E9FC2D" w14:textId="77777777" w:rsidR="00525461" w:rsidRPr="00525461" w:rsidRDefault="00525461" w:rsidP="005254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525461">
        <w:rPr>
          <w:rFonts w:ascii="Verdana" w:eastAsia="Times New Roman" w:hAnsi="Verdana" w:cs="Times New Roman"/>
          <w:color w:val="000000"/>
          <w:sz w:val="23"/>
          <w:szCs w:val="23"/>
          <w:lang w:eastAsia="fr-BE"/>
        </w:rPr>
        <w:t>Baisse du cuivre à Londres, d’une centaine d’euros, qui suffit à refroidir les ardeurs des incorrigibles haussiers. Du coup, les négociants et demi-grossistes se montrent plus prudents aux achats. Les tensions sur les conteneurs posent de plus en plus de problèmes aux traders internationaux. On signale par ailleurs des réceptions un peu plus tatillonnes en Asie — réclamations à mettre au compte de la baisse des cours en août. Ces ‘claims’ ne sont pas sans poser des problèmes aux traders internationaux qui ont bien souvent réglé en totalité la marchandise enlevée chez leurs fournisseurs.</w:t>
      </w:r>
    </w:p>
    <w:p w14:paraId="407C0DB5" w14:textId="77777777" w:rsidR="00525461" w:rsidRPr="00525461" w:rsidRDefault="00525461" w:rsidP="005254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525461">
        <w:rPr>
          <w:rFonts w:ascii="Verdana" w:eastAsia="Times New Roman" w:hAnsi="Verdana" w:cs="Times New Roman"/>
          <w:color w:val="000000"/>
          <w:sz w:val="23"/>
          <w:szCs w:val="23"/>
          <w:lang w:eastAsia="fr-BE"/>
        </w:rPr>
        <w:t xml:space="preserve">En Europe, les usines poursuivent leurs achats à un rythme de sénateur. Il est clair que l’engorgement du marché asiatique n’est pas pour leur déplaire. La </w:t>
      </w:r>
      <w:r w:rsidRPr="00525461">
        <w:rPr>
          <w:rFonts w:ascii="Verdana" w:eastAsia="Times New Roman" w:hAnsi="Verdana" w:cs="Times New Roman"/>
          <w:color w:val="000000"/>
          <w:sz w:val="23"/>
          <w:szCs w:val="23"/>
          <w:lang w:eastAsia="fr-BE"/>
        </w:rPr>
        <w:lastRenderedPageBreak/>
        <w:t>concurrence est toutefois bien présente, avec des consommateurs italiens, espagnols et des pays de l’Est qui animent le marché.</w:t>
      </w:r>
    </w:p>
    <w:p w14:paraId="7226BDE8" w14:textId="77777777" w:rsidR="00525461" w:rsidRPr="00525461" w:rsidRDefault="00525461" w:rsidP="005254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525461">
        <w:rPr>
          <w:rFonts w:ascii="Verdana" w:eastAsia="Times New Roman" w:hAnsi="Verdana" w:cs="Times New Roman"/>
          <w:color w:val="000000"/>
          <w:sz w:val="23"/>
          <w:szCs w:val="23"/>
          <w:lang w:eastAsia="fr-BE"/>
        </w:rPr>
        <w:t>Dans ces conditions, les décotes restent globalement inchangées.</w:t>
      </w:r>
    </w:p>
    <w:p w14:paraId="53504F5D" w14:textId="77777777" w:rsidR="00525461" w:rsidRPr="00525461" w:rsidRDefault="00525461" w:rsidP="005254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525461">
        <w:rPr>
          <w:rFonts w:ascii="Verdana" w:eastAsia="Times New Roman" w:hAnsi="Verdana" w:cs="Times New Roman"/>
          <w:color w:val="000000"/>
          <w:sz w:val="23"/>
          <w:szCs w:val="23"/>
          <w:lang w:eastAsia="fr-BE"/>
        </w:rPr>
        <w:t xml:space="preserve">Sur la base d’un </w:t>
      </w:r>
      <w:proofErr w:type="spellStart"/>
      <w:r w:rsidRPr="00525461">
        <w:rPr>
          <w:rFonts w:ascii="Verdana" w:eastAsia="Times New Roman" w:hAnsi="Verdana" w:cs="Times New Roman"/>
          <w:color w:val="000000"/>
          <w:sz w:val="23"/>
          <w:szCs w:val="23"/>
          <w:lang w:eastAsia="fr-BE"/>
        </w:rPr>
        <w:t>lowest</w:t>
      </w:r>
      <w:proofErr w:type="spellEnd"/>
      <w:r w:rsidRPr="00525461">
        <w:rPr>
          <w:rFonts w:ascii="Verdana" w:eastAsia="Times New Roman" w:hAnsi="Verdana" w:cs="Times New Roman"/>
          <w:color w:val="000000"/>
          <w:sz w:val="23"/>
          <w:szCs w:val="23"/>
          <w:lang w:eastAsia="fr-BE"/>
        </w:rPr>
        <w:t xml:space="preserve"> à 7900 euros, compter 7600 euros pour de la dépose, 6900 euros pour du cuivre mêlé 96%, 7300 pour de la grenaille N°2. Le câble 42% vaut autour des 2700 euros. Le laiton mêlé fait le grand écart avec des prix compris entre 4250 et 4400 euros.</w:t>
      </w:r>
    </w:p>
    <w:p w14:paraId="4B0173C8" w14:textId="77777777" w:rsidR="00525461" w:rsidRPr="00525461" w:rsidRDefault="00525461" w:rsidP="005254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525461">
        <w:rPr>
          <w:rFonts w:ascii="Verdana" w:eastAsia="Times New Roman" w:hAnsi="Verdana" w:cs="Times New Roman"/>
          <w:color w:val="000000"/>
          <w:sz w:val="23"/>
          <w:szCs w:val="23"/>
          <w:lang w:eastAsia="fr-BE"/>
        </w:rPr>
        <w:t> </w:t>
      </w:r>
    </w:p>
    <w:p w14:paraId="11C3A70F" w14:textId="77777777" w:rsidR="00525461" w:rsidRPr="00525461" w:rsidRDefault="00525461" w:rsidP="005254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525461">
        <w:rPr>
          <w:rFonts w:ascii="Verdana" w:eastAsia="Times New Roman" w:hAnsi="Verdana" w:cs="Times New Roman"/>
          <w:b/>
          <w:bCs/>
          <w:color w:val="A52A2A"/>
          <w:sz w:val="23"/>
          <w:szCs w:val="23"/>
          <w:lang w:eastAsia="fr-BE"/>
        </w:rPr>
        <w:t>Inox : au beau fixe</w:t>
      </w:r>
    </w:p>
    <w:p w14:paraId="19ECB767" w14:textId="77777777" w:rsidR="00525461" w:rsidRPr="00525461" w:rsidRDefault="00525461" w:rsidP="005254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525461">
        <w:rPr>
          <w:rFonts w:ascii="Verdana" w:eastAsia="Times New Roman" w:hAnsi="Verdana" w:cs="Times New Roman"/>
          <w:color w:val="000000"/>
          <w:sz w:val="23"/>
          <w:szCs w:val="23"/>
          <w:lang w:eastAsia="fr-BE"/>
        </w:rPr>
        <w:t>Force est de constater que les déchets d’inox évoluent plus rapidement que le nickel. La mitraille de 18/8-304 progresse ainsi entre 1630 et 1700 euros (1450/1520 pour la tournure). Même constat pour le 18/8 Mo-316, payé entre 2280 et 2300 euros (1900/2100 euros pour la tournure). A noter que les hauts de fourchette concernent toujours des ventes à la petite exportation (Hollande essentiellement).</w:t>
      </w:r>
    </w:p>
    <w:p w14:paraId="2944B2CD" w14:textId="77777777" w:rsidR="00525461" w:rsidRPr="00525461" w:rsidRDefault="00525461" w:rsidP="005254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525461">
        <w:rPr>
          <w:rFonts w:ascii="Verdana" w:eastAsia="Times New Roman" w:hAnsi="Verdana" w:cs="Times New Roman"/>
          <w:color w:val="000000"/>
          <w:sz w:val="23"/>
          <w:szCs w:val="23"/>
          <w:lang w:eastAsia="fr-BE"/>
        </w:rPr>
        <w:t> </w:t>
      </w:r>
    </w:p>
    <w:p w14:paraId="4B8C27C8" w14:textId="77777777" w:rsidR="00525461" w:rsidRPr="00525461" w:rsidRDefault="00525461" w:rsidP="005254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525461">
        <w:rPr>
          <w:rFonts w:ascii="Verdana" w:eastAsia="Times New Roman" w:hAnsi="Verdana" w:cs="Times New Roman"/>
          <w:b/>
          <w:bCs/>
          <w:color w:val="A52A2A"/>
          <w:sz w:val="23"/>
          <w:szCs w:val="23"/>
          <w:lang w:eastAsia="fr-BE"/>
        </w:rPr>
        <w:t xml:space="preserve">Vieux </w:t>
      </w:r>
      <w:proofErr w:type="gramStart"/>
      <w:r w:rsidRPr="00525461">
        <w:rPr>
          <w:rFonts w:ascii="Verdana" w:eastAsia="Times New Roman" w:hAnsi="Verdana" w:cs="Times New Roman"/>
          <w:b/>
          <w:bCs/>
          <w:color w:val="A52A2A"/>
          <w:sz w:val="23"/>
          <w:szCs w:val="23"/>
          <w:lang w:eastAsia="fr-BE"/>
        </w:rPr>
        <w:t>zinc:</w:t>
      </w:r>
      <w:proofErr w:type="gramEnd"/>
      <w:r w:rsidRPr="00525461">
        <w:rPr>
          <w:rFonts w:ascii="Verdana" w:eastAsia="Times New Roman" w:hAnsi="Verdana" w:cs="Times New Roman"/>
          <w:b/>
          <w:bCs/>
          <w:color w:val="A52A2A"/>
          <w:sz w:val="23"/>
          <w:szCs w:val="23"/>
          <w:lang w:eastAsia="fr-BE"/>
        </w:rPr>
        <w:t xml:space="preserve"> abondant</w:t>
      </w:r>
    </w:p>
    <w:p w14:paraId="5ADEFE2B" w14:textId="77777777" w:rsidR="00525461" w:rsidRPr="00525461" w:rsidRDefault="00525461" w:rsidP="005254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525461">
        <w:rPr>
          <w:rFonts w:ascii="Verdana" w:eastAsia="Times New Roman" w:hAnsi="Verdana" w:cs="Times New Roman"/>
          <w:color w:val="000000"/>
          <w:sz w:val="23"/>
          <w:szCs w:val="23"/>
          <w:lang w:eastAsia="fr-BE"/>
        </w:rPr>
        <w:t>Le vieux zinc est proposé en abondance. Dans ces conditions, les délais recommencent à s’allonger. Certains consommateurs italiens achètent pour novembre. Le prix de base se situe autour des 1850 euros franco.</w:t>
      </w:r>
    </w:p>
    <w:p w14:paraId="37C9A1A5" w14:textId="77777777" w:rsidR="00525461" w:rsidRPr="00525461" w:rsidRDefault="00525461" w:rsidP="005254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525461">
        <w:rPr>
          <w:rFonts w:ascii="Verdana" w:eastAsia="Times New Roman" w:hAnsi="Verdana" w:cs="Times New Roman"/>
          <w:color w:val="000000"/>
          <w:sz w:val="23"/>
          <w:szCs w:val="23"/>
          <w:lang w:eastAsia="fr-BE"/>
        </w:rPr>
        <w:t> </w:t>
      </w:r>
    </w:p>
    <w:p w14:paraId="4D4B119B" w14:textId="77777777" w:rsidR="00525461" w:rsidRPr="00525461" w:rsidRDefault="00525461" w:rsidP="005254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525461">
        <w:rPr>
          <w:rFonts w:ascii="Verdana" w:eastAsia="Times New Roman" w:hAnsi="Verdana" w:cs="Times New Roman"/>
          <w:b/>
          <w:bCs/>
          <w:color w:val="A52A2A"/>
          <w:sz w:val="23"/>
          <w:szCs w:val="23"/>
          <w:lang w:eastAsia="fr-BE"/>
        </w:rPr>
        <w:t>Déchets de plomb : l’offre s'étoffe</w:t>
      </w:r>
    </w:p>
    <w:p w14:paraId="53EF38E8" w14:textId="77777777" w:rsidR="00525461" w:rsidRPr="00525461" w:rsidRDefault="00525461" w:rsidP="00525461">
      <w:pPr>
        <w:shd w:val="clear" w:color="auto" w:fill="FFFFFF"/>
        <w:spacing w:before="75" w:after="75" w:line="240" w:lineRule="auto"/>
        <w:jc w:val="both"/>
        <w:rPr>
          <w:rFonts w:ascii="Verdana" w:eastAsia="Times New Roman" w:hAnsi="Verdana" w:cs="Times New Roman"/>
          <w:color w:val="000000"/>
          <w:sz w:val="23"/>
          <w:szCs w:val="23"/>
          <w:lang w:eastAsia="fr-BE"/>
        </w:rPr>
      </w:pPr>
      <w:r w:rsidRPr="00525461">
        <w:rPr>
          <w:rFonts w:ascii="Verdana" w:eastAsia="Times New Roman" w:hAnsi="Verdana" w:cs="Times New Roman"/>
          <w:color w:val="000000"/>
          <w:sz w:val="23"/>
          <w:szCs w:val="23"/>
          <w:lang w:eastAsia="fr-BE"/>
        </w:rPr>
        <w:t>Les batteries valent autour des 780 euros, le vieux plomb entre 1650 et 1730 euros. L’offre s’étoffe.</w:t>
      </w:r>
    </w:p>
    <w:p w14:paraId="1B66EEB4" w14:textId="77777777" w:rsidR="005E45B5" w:rsidRDefault="005E45B5"/>
    <w:sectPr w:rsidR="005E45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61"/>
    <w:rsid w:val="00086BC8"/>
    <w:rsid w:val="00525461"/>
    <w:rsid w:val="005E45B5"/>
    <w:rsid w:val="00633C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0BCF"/>
  <w15:chartTrackingRefBased/>
  <w15:docId w15:val="{4F021652-2C3F-4365-B25D-3C5C6A2E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1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3696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2021-09-07T13:59:00Z</dcterms:created>
  <dcterms:modified xsi:type="dcterms:W3CDTF">2021-09-07T14:00:00Z</dcterms:modified>
</cp:coreProperties>
</file>